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16.03.2020, оставленным без изменения постановлением Девятого арбитражного апелляционного суда от 05.10.2020, заявленные требования удовлетворены в 2 связи с установленной в ходе рассмотрения дела малозначительностью правонарушения. Постановлением Арбитражного суда Московского округа от 25.01.2021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обжалуемые судебные акты отменить, ссылаясь на допущенные судами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с учетом конкретных обстоятельств дела признали правонарушение малозначительным, не усмотрев существенной угрозы охраняемым общественным правоотношениям с учетом характера совершенного правонарушения и поведения правонарушителя.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наличием оснований для признания совершенного обществом правонарушения малозначительным. 3 Довод заявителя кассационной жалобы о необоснованном неприменении судами к спорным правоотношениям положений статьи 2.9 Кодекса Российской Федерации об административных правонарушениях, несостоятелен исходя из разъяснений, изложенных в пункте 18.1 Постановления Пленума ВАС РФ от 02.06.2004 № 10, в соответствии с которыми оценка вывода арбитражного суда первой и (или) апелляционной инстанции о наличии или отсутствии существенной угрозы охраняемым общественным отношениям исходя из совершенного лицом правонарушения и, как следствие, о возможности или невозможности квалификации такого правонарушения как малозначительного не входит в компетенцию арбитражного суда кассационной инстанции.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