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01.07.2020, оставленным без изменения постановлением Первого арбитражного апелляционного суда от 02.10.2020, иск удовлетворен в заявленном размере. 2 Арбитражный суд Волго-Вятского округа постановлением от 18.02.2021 решение от 01.07.2020 и постановление Первого арбитражного апелляционного суда от 02.10.2020 изменил и взыскал 32 246 955 рублей 94 копейки убытков. В кассационной жалобе банк просит об отмене судебных актов, ссылаясь на отсутствие законных условий для взыскания убытков, неустановление невозможности исполнения обязательств должником и непривлечение его конкурсного управляющего к участию в деле.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вследствие задержки в исполнении предъявленных взыскателями исполнительных листов и расходования поступавших в период задержки на счет должника (компании) денежных средств на иные цели исполнение стало невозможным из-за открытия в отношении компании конкурсного производства. Причинно-следственная связь неполучения присужденных сумм с действиями банка установлена, что позволяет обратить убытки против него в силу статей 15, 1064 Гражданского кодекса Российской Федерации. Компания привлечена к участию в деле в качестве третьего лица, следовательно, такое участие осуществляет через полномочный орган.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«Финансовая Корпорация Открытие»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