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11.03.2020, оставленным без изменения постановлением Восемнадцатого арбитражного апелляционного суда от 14.07.2020, в удовлетворении иска отказано. Арбитражный суд Уральского округа постановлением от 04.02.2021 решение от 11.03.2020 и постановление Восемнадцатого арбитражного апелляционного суда от 14.07.2020 оставил без изменения. В кассационной жалобе общество «Выручай» просит об отмене судебных актов, ссылаясь на неправомерный отказ в страховой выплате.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страхователем ответственности за использование обоих участвовавших в дорожно-транспортном происшествии транспортных средств у ответчика является их собственник. Следовательно, при удовлетворении иска собственника (потерпевшего) у ответчика возникает суброгация к тому же лицу как к причинителю вреда, поэтому вывод о прекращении обязательства в связи с совпадением в одном лице должника и кредитора является правильным. Страхования ответственности лиц, непосредственно управлявших транспортными средствами, суды не установили; ответственность таких лиц перед собственником возникает из существующих между ними правоотношений, в которых ответчик не участвует.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«Выручай»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