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глава крестьянского (фермерского) хозяйства ФИО2 обратился в Арбитражный суд Пермского края с иском о взыскании с индивидуального предпринимателя главы крестьянского (фермерского) хозяйства ФИО3 110 700 рублей задолженности и 110 700 рублей неустойки по договору содержания лошади от 01.06.2016 № 10/16. Решением Арбитражного суда Пермского края от 29.01.2020 иск удовлетворен. Постановлением Семнадцатого арбитражного апелляционного суда от 25.09.2020 решение суда первой инстанции отменено и в удовлетворении иска отказано. Арбитражный суд Уральского округа постановлением от 01.02.2021 постановление суда апелляционной инстанции оставил без изменения. Индивидуальный предприниматель глава крестьянского (фермерского) хозяйства ФИО2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установив отсутствие задолженности по оплате оказанных услуг, руководствуясь положениями статей 309 , 310 , 313 , 779 , 781 Гражданского кодекса Российской Федерации, апелляционный суд пришел к выводу об отсутствии оснований для удовлетворения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