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06.08.2020, оставленным без изменения постановлением Пятнадцатого арбитражного апелляционного суда от 14.10.2020 и постановлением Арбитражного суда Северо-Кавказского округа от 26.01.2021, исковые требования удовлетворены частично. В кассационной жалобе общество «Мурманскавтотранс» просит о пересмотре судебных актов, ссылаясь на ненадлежащие доказательства поставки, неприменение моратория на начисление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 , 333 , 486 , 506 , 516 Гражданского кодекса Российской Федерации, суды удовлетворили иск по установленным фактам поставки истцом (поставщиком) товара в рамках договора от 05.06.2019 и неполной оплаты его ответчиком (покупателем). Суды рассмотрели заявление ответчика об уменьшении неустойки и удовлетворили его. Подачи заявления о применении моратория на начисление неустойки и рассмотрения его судами из содержания судебных авто не следует, поэтому связанный с мораторием довод жалобы не влияет на судьбу судебных актов в кассационном производстве.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Беком (подробнее) Ответчики: ПАО "Мурманскавтотранс"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