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12.03.2020, оставленным без изменения постановлением Девятого арбитражного апелляционного суда от 22.09.2020, в удовлетворении иска отказано. Арбитражный суд Московского округа постановлением от 22.01.2021 решение от 12.03.2020 и постановление Девятого арбитражного апелляционного суда от 22.09.2020 оставил без изменения. В кассационной жалобе предприниматель просит о пересмотре судебных актов, ссылаясь на несоответствие выводов судов фактическим обстоятельствам дела и представленным доказательствам.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вследствие недостаточности в момент проведения операции по счетам предпринимателя и третьего лица денежных средств на корреспондентском счете банка и введенных в дальнейшем в отношении банка ограничениях запись об указанной операции не создала последствий, о применении которых предъявлен иск. Иная оценка заявителем имущественного положения банка не создает оснований для пересмотра оспариваемых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ГК "Агентство по страхованию вкладов" (подробнее) ООО Коммерческий банк "Русский ипотечный банк"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