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«Везунофф» обратилось в Арбитражный суд Московской области с иском о взыскании с общества с ограниченной ответственностью «ТрансАвто» 1 501 920 рублей стоимости утраченного груза. Определением Арбитражного суда Московской области от 08.07.2019 дело передано по подсудности на рассмотрение Арбитражного суда Нижегородской области. Решением Арбитражного суда Нижегородской области от 09.12.2019 в удовлетворении иска отказано. Постановлением Первого арбитражного апелляционного суда от 04.08.2020 решение суда первой инстанции оставлено без изменения. Арбитражный суд Волго-Вятского округа постановлением от 09.12.2020 указанные судебные акты оставил без изменения. Общество с ограниченной ответственностью «Везунофф»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Письмом судьи Верховного Суда Российской Федерации от 08.04.2021 дело истребовано из Арбитражного суда Нижегородской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15, 393, 785, 796, 801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суды пришли к выводу о недоказанности истцом наличия совокупности обстоятельств, необходимых для привлечения ответчика к гражданско-правовой ответственности в виде возмещения убытков. Доводы жалобы заявителя, с учетом установленных фактических обстоятельств дела и отсутствия доказательств факта утраты (хищения) груза,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«Везунофф»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