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банк обратился в суд с ходатайством о передаче дела по подсудности в Арбитражный суд города Москвы. Определением Арбитражного суда Чеченской Республики от 03.12.2020, оставленным без изменения постановлением Шестнадцатого арбитражного апелляционного суда от 27.01.2021, в удовлетворении ходатайства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Чеченской Республики.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тем, по результатам изучения состоявшихся по делу судебных актов, доводов кассационных жалоб таких оснований не установлено. Отказывая в ходатайстве, суды первой и апелляционной инстанции руководствовались статьями 38, 39 Арбитражного процессуального кодекса Российской Федерации и исходили из того, что спорный вопрос рассматривался ранее, судебный акт о передаче дела на рассмотрение в Арбитражный суд города Москвы отменён по вновь открывшимся обстоятельствам в связи с наличие обстоятельств правомерности его рассмотрения в Арбитражном суде Чеченской Республики. Нарушений норм процессуального права, влекущих за собой отмену оспариваемых судебных актов, судами не допущено. Приводимые заявителем в жалобе доводы являлись предметом изучения судебных инстанций, получили надлежащую правовую оценку, отклонены как несостоятельные.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«Коммерческий банк «БФГ-Кредит» государственной корпорации «Агентство по страхованию вкладов»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