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Рязанской области от 10.07.2020, оставленным без изменения постановлением Двадцатого арбитражного апелляционного суда от 08.09.2020, конкурсным управляющим должника утверждён Спирякин А.М. Постановлением Арбитражного суда Центрального округа от 26.01.2021 названные судебные акты отменены, дело направлено на новое рассмотрение в Арбитражный суд Рязанской области. В кассационных жалобах, поданных в Верховный Суд Российской Федерации, заявители просят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делу судебные акты, суд округа руководствовался положениями статей 45 и 127 Федерального закона от 26.10.2002 № 127-ФЗ «О несостоятельности (банкротстве)»,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применительно к приводимым сторонами доводам и возражениям счёл необходимым направить дело на новое рассмотрение для обеспечения независимости арбитражного управляющего и исключения фактора его заинтересованности по отношению к должнику и его учредителю, сохранения баланса интересов сторон и предотвращения потенциального конфликта интересов, в том числе, путём назначения арбитражного управляющего посредством случайного выбора саморегулируемой организации.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Дмитрию Викторовичу, арбитражному управляющему Спирякину Александру Михайловичу, Тужилкину Виктору Игоревичу и Ершову Дмитрию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