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 в связи с наличием у него просроченной задолженности в размере 470 764 рублей 38 копеек. Определением Арбитражного суда Новосибирской области от 01.10.2020, оставленным без изменения постановлениями Седьмого арбитражного апелляционного суда от 27.11.2020 и Арбитражного суда Западно-Сибирского округа от 27.01.2021, в удовлетворении заявления отказано; производство по делу прекращено.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делу, суды руководствовались статьями 10, 313 Гражданского кодекса Российской Федерации, статьями 3, 33, 48, Федерального закона от 26.10.2002 № 127-ФЗ «О несостоятельности (банкротстве)», и исходили из того, после его возбуждения третьим лицом, использовавшим институт исполнения обязательства в соответствии с его назначением и без злоупотребления правом, частично погашена задолженность перед обществом; размер денежных обязательств для определения наличия признаков банкротства составил менее 300 000 рублей, а от иных кредиторов заявлений о признании должника банкротом не поступило.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«Дробильные машины»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