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его требования в размере 358 627 157 рублей 68 копеек, как обеспеченных залогом имущества должника. Определением Арбитражного суда Алтайского края от 07.09.2020 требование в размере 195 688 454 рублей 22 копеек (задолженность по основному долгу, плановым процентам) включено в третью очередь реестра; требование в размере 132 094 656 рублей 17 копеек (неустойка) учтено отдельно в составе третьей очереди реестра. Заявление общества в части требований о признании задолженности обеспеченной залогом имущества должника выделено в отдельное производство. Постановлением Седьмого арбитражного апелляционного суда от 14.12.2020, оставленным без изменения постановлением Арбитражного суда Западно-Сибирского округа от 11.03.2021, названное определение в части признания обоснованными требований отменено, в данной части принят новый судебный акт об отказе в удовлетворении заявления. В остальной части определение суда от 07.09.2020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2 инстанции и округа, принять по делу новый судебный акт об удовлетворении заявленных им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195, 196, 200 Гражданского кодекса Российской Федерации,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пришли к правильным выводам об отсутствии оснований для включения в реестр требований общества по мотиву пропуска последним срока исковой давности, правомерно исчисляемого с дат первоначально поданных его уполномоченным представителем требований о досрочном возврате займов (23.01.2015 и 29.01.2015).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«Агроторг»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