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Харланов Алексей Леонтьевич обратился в суд с заявлением о признании недействительными сделок по перечислению обществом с ограниченной ответственностью «Центр промышленного снабжения и комплектации» за должника в пользу акционерного общества «Объединённая двигателестроительная корпорация» (далее – корпорация) период с 03.10.2016 по 28.10.2016 денежных средств в общем размере 745 014 363 рублей 69 копеек; применении последствий недействительности сделок. Определением Арбитражного суда города Москвы от 14.08.2020, оставленным без изменения постановлениями Девятого арбитражного апелляционного суда от 04.12.2020 и Арбитражного суда Московского округа от 17.03.2021,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61.1, 61.3, 61.4 Федерального закона от 26.10.2002 № 127-ФЗ «О несостоятельности (банкротстве)», исходили из того, что совершение оспариваемых конкурсным управляющим платежей не связано с целью оказания корпорации предпочтения и обусловлено исполнением сложившихся между сторонами обязательств в рамках единой договорной связи и в пределах обычной хозяйственной деятельности, в связи с чем не установили оснований для признания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«Объединённые газопромышленные технологии «Искра-Авиагаз» Харланову Алексею Леонтьевичу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