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05.03.2020, оставленным без изменения постановлением Девятого арбитражного апелляционного суда от 20.08.2020 и постановлением Арбитражного суда Московского округа от 03.12.2020, первоначальные исковые требования удовлетворены, в удовлетворении встречных требований отказано. Фонд обратился в Судебную коллегию по экономическим спорам Верховного Суда Российской Федерации с кассационной жалобой на указанные 2 судебные акты, ссылаясь на существенные нарушения норм материального права.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материалов дела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спорных договоров и соглашения, руководствуясь статьями 167, 179, 307, 309, 310, 329, 330, 614 Гражданского кодекса Российской Федерации, суды первой и апелляционной инстанций признали обоснованными требования предпринимателя, исходя из доказанности факта ненадлежащего исполнения фондом принятых на себя обязательств. Отказывая в удовлетворении требований фонда, суды пришли к выводу о неподтвержденности обстоятельств, необходимых для признания сделок недействительными по тем основаниям, на которые ссылался фонд, а также пропуске им срока исковой давности. Суд округа согласился с выводами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художественного фонда «Биеннале современного искусства»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