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21.09.2020, оставленным без изменения постановлением Двадцатого арбитражного 2 апелляционного суда от 30.11.2020 и постановлением Арбитражного суда Центрального округа от 15.03.2021, первоначальные исковые требования удовлетворены в части взыскания с завода в пользу общества 2 573 288 руб. 06 коп. задолженности, 307 467 руб. 26 коп. процентов за пользование чужими денежными средствами, в удовлетворении остальной части требований отказано; встречные исковые требования удовлетворены в части взыскания с общества в пользу завода 90 602 руб. 71 коп. неустойки, 5000 руб. штрафа, 1 998 900 руб. убытков, в удовлетворении остальной части требований отказано; произведен зачет удовлетворенных требований в результате которого с завода в пользу общества взыскано 786 252 руб. 61 коп.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удовлетворения требования по встречному иску о взыскании убытков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руководствуясь статьями 15, 393, 702, 720, 723, 724, 755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доказанности совокупности условий, необходимых для взыскания с общества убытков, с чем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3 291.8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«Тулэнергоремонт»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