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предприниматели обратились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предпринимателями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индивидуальных предпринимателей ФИО1 и ФИО2 удовлетворить. Срок подачи кассационной жалобы на решение Арбитражного суда Челябинской области от 23.12.2019, постановление Восемнадцатого арбитражного апелляционного суда от 03.07.2020 и постановление Арбитражного суда Уральского округа от 16.10.2020 по делу № А76-9324/2019 восстановить. Судья Верховного Суда Российской Федерации Н.С. Чучунова Суд: Верховный Суд РФ (подробнее) Истцы: ТОВАРИЩЕСТВО СОБСТВЕННИКОВ НЕДВИЖИМОСТИ "ЦВИЛЛИНГА, 36" (подробнее) Ответчики: ИП Титаренко Анна Викторовна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