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04.09.2020, оставленным без изменения постановлением Первого арбитражного апелляционного суда от 12.11.2020, общество привлечено к административной ответственности по части 2 статьи 14.57 Кодекса Российской Федерации об 2 административных правонарушениях и ему назначено наказание в виде штрафа в размере 50 000 рублей. Постановление Арбитражного суда Волго-Вятского округа от 02.03.2021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обществом законодательства при осуществлении деятельности по возврату просроченной задолженности, а именно части 4 статьи 7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Указанные обстоятельства послужили основанием для составления протокола по части 2 статьи 14.57 Кодекса Российской Федерации об административных правонарушениях и обращения в арбитражный суд с соответствующим заявлением. Частью 1 статьи 14.57 Кодекса Российской Федерации об административных правонарушениях предусмотрена ответственность за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3 исключением случаев, предусмотренных частью 2 настоящей статьи, - влечет наложение административного штрафа на юридических лиц - от двадцати тысяч до двухсот тысяч рублей. В силу части 2 статьи 14.57 Кодекса Российской Федерации об административных правонарушениях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влечет наложение штрафа на юридических лиц - от пятидесяти тысяч до пятисот тысяч рублей или административное приостановление деятельности на срок до девяноста суток. Оценив представленные доказательства, руководствуясь положениями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суды пришли к выводу о наличии в действиях общества состава вменяемого правонарушения, ответственность за совершение которого предусмотрена частью 2 статьи 14.57 Кодекса Российской Федерации об административных правонарушениях, признав, что должнику не сообщалось наименование кредитора, в том числе с учетом отсутствия доказательств состоявшейся переуступки права требования долга и уведомления о ней должника. Вина общества состоит в том, что им не были приняты все необходимые и достаточные меры для соблюдения законодательства о защите прав и законных интересов физических лиц при осуществлении деятельности по возврату просроченной задолженности исходя из общеправового принципа добросовестности и объема информации, которая должна быть сообщена должнику. Процедура и срок давности привлечения к ответственности соблюдены. Оснований для признания правонарушения малозначительным и применения 4 положений статьи 2.9 Кодекса Российской Федерации об административных правонарушениях судами не установлено.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