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11.08.2020, оставленным без изменения постановлением Девятого арбитражного апелляционного суда от 29.10.2020 и постановлением Арбитражного суда Московского округа от 24.02.2021, с общества в пользу департамента взыскано 8 519 766 руб. 40 коп. задолженности, 323 256 руб. 59 коп. неустойки, в удовлетворении остальной части исковых требований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принять новый судебный акт.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требования департамента (арендодатель) мотивированы ненадлежащим исполнением обществом (арендатор) обязательств по уплате арендных платежей по договору от 22.08.2012 № 00-00004/12. Исследовав и оценив в совокупности и взаимной связи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договора, принимая во внимание вступившие в законную силу судебные акты по делу № А40-67831/2018, установив, что в течение заявленного ко взысканию периода задолженности имело место изменение ставок арендной платы, которое произведено арендодателем законно, доказательств оплаты имеющейся задолженности арендатором не представлено, руководствуясь статьями 196, 199, 200, 309, 310, 421, 431, 606, 614 Гражданского кодекса Российской Федерации, разъяснениями, изложенными в информационном письме Президиума Высшего Арбитражного Суда Российской Федерации от 11.01.2002 № 66 «Обзор практики разрешения споров, связанных с арендой», постановлении Пленума Высшего Арбитражного Суда Российской Федерации от 17.11.2011 № 73 «Об отдельных вопросах практики применения правил Гражданского кодекса Российской Федерации о договоре аренды», суды первой и апелляционной инстанции частично удовлетворили исковые требования (с учетом пропуска истцом срока исковой давности по части взыскиваемого периода, о чем было заявлено ответчиком). Суд округа согласился с выводами судов первой и апелляционной инстанций. Доводы кассационной жалобы не опровергают выводы судов, не свидетельствуют о существенном нарушении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«Малина»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