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12.08.2020, оставленным без изменения постановлениями Пятого арбитражного апелляционного суда от 06.11.2020 и Арбитражного суда Дальневосточного округа от 03.03.2021, в удовлетворении заявленных требований отказано. 2 В кассационной жалобе общество ставит вопрос об отмене принятых по делу судебных актов, ссылаясь на нарушение судами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камеральной налоговой проверки первичной налоговой декларации общества по НДС за 1 квартал 2019 года инспекцией вынесены решения об отказе в привлечении к ответственности за совершение налогового правонарушения, которым предложено уменьшить сумму налога, излишне заявленного к возмещению, в размере 12 252 179 рублей и об отказе в возмещении НДС в размере 12 252 179 рублей. Основанием для принятия решений послужил вывод налогового органа о необоснованном предъявлении обществом налоговых вычетов по взаимоотношениям с контрагентами - АО «ДМП-РМ» и ПАО «Преображенская база тралового флота» по приобретению рыбопродукции за пределами территории Российской Федерации. Не согласившись с решениями налогового органа, общество обратилось в арбитражный суд. Исследовав и оценив представленные в материалы дела доказательства, суды, руководствуясь положениями статей 11, 38, 147, 172 Налогового кодекса Российской Федерации, Федерального закона от 17.12.1998 № 191-ФЗ «Об исключительной экономической зоне Российской Федерации», правовой позицией Конституционного Суда Российской Федерации, выраженной в определении от 29.09.2016 № 2024-О, пришли к выводу об отсутствии оснований для удовлетворения заявленных требований. Судебные инстанции исходили из того, что реализация контрагентами рыбопродукции обществу не образует объекта налогообложения НДС, поскольку рыбопродукция на момент начала отгрузки и транспортировки на территории Российской Федерации не находилась, товар на территории Российской Федерации не приобретался, то есть, фактическая передача продукции происходила за пределами Российской Федерации. 3 Учитывая изложенное, суды согласились с выводом налогового органа о том, что у общества не возникло право на применение налогового вычета по НДС в отношении операций по приобретению товара, местом реализации которого территория Российской Федерации не признается. Доводы кассационной жалобы являлись предметом рассмотрения судов, получили надлежащую правовую оценку с учетом установленных обстоятельств дела и мотивированно отклонены. Приведенные в кассационной жалобе доводы основаны на ошибочном толковании положений законодательства, не подтверждают существенных нарушений норм материального и (или) норм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«Алитет ДВ»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