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15.06.2020, оставленным без изменения постановлениями Десятого арбитражного апелляционного суда от 26.08.2020 и Арбитражного суда Московского округа от 03.02.2021, исковое требование удовлетворено. В кассационной жалобе учреждение ставит вопрос об отмене принятых по делу судебных актов, ссылаясь на нарушение норм права, неполное выяснение обстоятельств спора,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(поставщик) заключен государственный контракт от 03.09.2018 на выполнение работ по завершению капитального ремонта помещений для размещения компьютерного томографа в здании государственного бюджетного учреждения здравоохранения Московской области «Московский областной противотуберкулезный диспансер», стационар для взрослых (электрооборудование, слаботочные сети). Основанием для обращения в суд послужил односторонний отказ учреждения от исполнения государственного контракта по причине нарушения подрядчиком срока выполнения работ по контракту. Исследовав и оценив представленные в материалы дела доказательства, суды, руководствуясь положениями статей 4, 11, 309, 310, 450.1, 702, 711, 719, 720, 763, 766, 768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оснований для удовлетворения иска. Признавая необоснованным отказ заказчика от исполнения контракта, судебные инстанции исходили из недействительности одностороннего расторжения контракта после фактической приемки выполненных работ. При исследовании обстоятельств дела установлено наличие объективных препятствий для выполнения подрядчиком спорных работ на объекте, правомерность приостановления работ по контракту со стороны подрядчика, последующее фактическое выполнение и сдача работ в полном объеме заказчику. Обстоятельства данного спора и представленные доказательства были предметом оценки судов. Доводы, изложенные в кассационной жалобе, являлись предметом рассмотрения судов и получили надлежащую правовую оценку с учетом установленных обстоятельств и положений гражданского законодательства. Приведенные в жалобе доводы не свидетельствуют о существенных нарушениях судами норм материального и процессуального права, повлиявших на исход дела, выражают несогласие с выводами судов по фактическим обстоятельствам спора, по существу направлены на их переоценку в связи с чем не могут служить основанием для пересмотра судебных актов в кассационном порядке.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Московской области «Дирекция единого заказчика Министерства здравоохранения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