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16.12.2019 первоначальный иск удовлетворен, встречный иск удовлетворен частично, с общества в пользу учреждения взыскана неустойка в размере 603 389,02 рублей, в удовлетворении остальной части встречного иска отказано; в результате зачета требований с учреждения в пользу общества взыскано 4 270 297,38 рублей, распределены судебные издержки. Постановлением Одиннадцатого арбитражного апелляционного суда от 08.10.2020 решение суда первой инстанции отменено, первоначальный иск удовлетворен частично, с учреждения в пользу общества взыскано 1 143 889,29 рублей задолженности, встречный иск удовлетворен частично, с общества в пользу учреждения взыскано 266 359,31 рубля неустойки, в удовлетворении остальной части первоначального и встречного иска отказано; в результате зачета требований с учреждения в пользу общества взыскано 877 529,91 рублей, распределены судебные издержки. Постановлением Арбитражного суда Поволжского округа от 16.02.2021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постановление апелляционного суда и суда округа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Руководствуясь положениями статей 330, 333, 720 Гражданского кодекса Российской Федерации,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суд апелляционной инстанции удовлетворил первоначальный иск в части, исходя из установленного объема и стоимости качественно выполненных обществом работ; встречный иск удовлетворен в части с учетом подтвержденного факта 3 ненадлежащего исполнения обществом договорных обязательств и снижения размера неустойки. Доводы жалобы были предметом исследования судов апелляционной и кассационной инстанций, и получили исчерпывающую правовую оценку с учетом конкретных установленных обстоятельств. Обстоятельств, свидетельствующих о том, что апелляционный суд вышел за пределы своих полномочий, с учетом разъяснений пункта 5 постановления Пленума Высшего Арбитражного Суда Российской Федерации от 04.04.2014 № 23 «О некоторых вопросах практики применения арбитражными судами законодательства об экспертизе», пункта 29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судом округа не установлено, в жалобе указанные выводы суда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