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Кузьмина Татьяна Борисовна (далее – Предприниматель) обратилась в Арбитражный суд города Санкт-Петербурга и Ленинградской области с иском к обществу с ограниченной ответственностью «Классика» (далее – Общество) об обязании ответчика устранить выявленные в автомобиле ЛУИДОР-22370 повреждения кузовных элементов. Кроме того, истец просил взыскать с ответчика 7210 рублей расходов на услуги независимого эксперта, 20 600 рублей расходов по оплате услуг представителя, а также 1800 рублей расходов на оплату доверенности.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«Фольксваген Групп Рус». Решением Арбитражного суда города Санкт-Петербурга и Ленинградской области от 01.06.2020 требования удовлетворены в полном объеме. Апелляционная инстанция, установив наличие основания, предусмотренного пунктом 2 части 4 статьи 270 Арбитражного процессуального кодекса Российской Федерации (далее - АПК РФ), для отмены решения суда 2 первой инстанции, перешла к рассмотрению дела по правилам, установленным для рассмотрения дела в суде первой инстанции. Суд апелляционной инстанции привлек к участию в деле в качестве третьего лица, не заявляющего самостоятельных требований относительно предмета спора, общество с ограниченной ответственностью Производственно-коммерческая фирма «Луидор». Постановлением Тринадцатого арбитражного апелляционного суда от 24.11.2020, оставленным без изменения постановлением Арбитражного суда Северо-Западного округа от 18.02.2021, решение от 01.06.2020 отменено; в иске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заключение, полученное по результатам проведения внесудебной экспертизы, представленное в суд первой инстанции, является надлежащим доказательством по делу. Совпадение в одном лице представителя Предпринимателя и эксперта не свидетельствует о личной заинтересованности последнего. Апелляционный суд неправомерно отказал в проведении судебной экспертизы по делу, отмечая, что не уклонялся от ее проведения.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(продавец) и Предприниматель (покупатель) заключили договор от 14.09.2017 № КЛ0015765 купли-продажи автомобиля ЛУИДОР-22370 VIN Z7C22370CG0002284. По условиям договора (пункт 5.1), а также в соответствии с технической документацией гарантийный срок эксплуатации автомобиля составляет 2 года с момента передачи, без ограничения пробега. При этом продавец гарантировал, что передаваемый автомобиль технически исправен и не имеет дефектов изготовления. В период эксплуатации автомобиля Предпринимателем были выявлены дефекты кузовных элементов. По заказу Предпринимателя было подготовлено заключение по определению причин образования повреждений лакокрасочного покрытия и 3 образования коррозии на кузовных элементах автомобиля от 29.08.2019 № 29/08/2019. Ссылаясь на то, что в период эксплуатации транспортного средства были выявлены дефекты кузовных элементов, имеющие производственный характер, но не устраненные продавцом в добровольном порядке,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454, 469, 475 Гражданского кодекса Российской Федерации, суд апелляционной инстанции, с выводами которого согласился суд округа, отказал в удовлетворении требований, придя к выводу, что недостатки товара (автомобиля) возникли после его передачи покупателю в процессе эксплуатации, признав недоказанным факт повреждения кузовных элементов из-за дефектов производственного характера. Апелляционный суд, руководствуясь статьями 75, 89 АПК РФ, обоснованно не принял представленное истцом заключение специалиста, составленное по результатам независимой экспертизы, в качестве допустимого и достоверного доказательства, учитывая, что заключение было составлено специалистом Шварцфельдом Р.Л., который также являлся представителем истца по настоящему делу. В суде апелляционной инстанции ответчиком было заявлено ходатайство о проведении по делу судебной экспертизы для установления причин возникновения спорных дефектов автомобиля, в удовлетворении которого было отказано по причине того, что Предприниматель уклонился от явки в суд и предоставления транспортного средства экспертной организации.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Кузьминой Татьяны Борисовны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