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15.06.2020, оставленным без изменения постановлениями Седьмого арбитражного апелляционного суда от 10.09.2020 и Арбитражного суда Западно-Сибирского округа от 18.02.2021, заявленное требование удовлетворено частично, решение инспекции признано недействительным в части доначисления налога на прибыль организаций в 2 размере 1 156 031 рубля 55 копеек, соответствующих сумм пени и штрафа.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исчисления, полноты и своевременности уплаты в бюджет налогов за период 2014-2016 годы инспекцией вынесено оспариваемое решение о привлечении к ответственности за совершение налогового правонарушения по пункту 3 статьи 122, пункту 1 статьи 126 Налогового кодекса Российской Федерации (далее – Налоговый кодекс), в виде штрафа в общем размере 36 535 517 рублей 60 копеек, обществу доначислены налог на добавленную стоимость (далее – НДС), налог на прибыль организаций в общей сумме 103 055 723 рубля, начислены пени за несвоевременную уплату вышеуказанных налогов в общем размере 27 076 707 рублей 81 копейки. Основанием для начисления соответствующих налогов послужили выводы налогового органа об отсутствии реальных хозяйственных операций общества с контрагентами - ООО «Экопродукт» и индивидуальным предпринимателем Осиповой Р.И., формальном документообороте с целью неотражения части дохода от оптовой реализации товаров путем ее переноса на подконтрольных лиц (контрагентов), таким образом - вывода из под налогообложения НДС и налогом на прибыль организаций данной выручки. Решением Управления Федеральной налоговой службы по Кемеровской области от 25.03.2019 № 84,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169, 171, 172, 252 Налогового кодекса, с учетом разъяснений, изложенных в постановлении Пленума Высшего Арбитражного Суда Российской Федерации от 12.10.2006 № 53 3 «Об оценке арбитражными судами обоснованности получения налогоплательщиком налоговой выгоды», суды пришли к выводу о наличии оснований для частичного удовлетворения заявленного требования. Отказывая в удовлетворении требования общества в части, судебные инстанции исходили из умышленного создания руководителем общества схемы получения налоговой выгоды путем переноса части выручки на формально созданные подконтрольные лица, применяющие ЕНВД, с целью вывода из-под налогообложения доходов общества от оптовой торговли. При этом, признавая решение инспекции недействительным в части доначисления налога на прибыль организаций в размере 1 156 031 рубля 55 копеек, соответствующих сумм пени и штрафа, суды, установив действительный размер налогового обязательства общества, признали обоснованными расходы налогоплательщика в сумме 5 780 157 рублей 74 копеек.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«Вертикаль»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