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02.10.2020, оставленным без изменения постановлениями Девятого арбитражного апелляционного суда от 15.12.2020 и Арбитражного суда Московского округа от 24.03.2021, в удовлетворении заявленного требования отказано. В кассационной жалобе администрация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антимонопольного органа в действиях администрации при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безвозмездном пользовании администрации, выявлены нарушения пункта 3 части 1 статьи 17 Федерального закона от 26.07.2006 № 135-ФЗ «О защите конкуренции» (далее - Закон о защите конкуренции). Основанием для принятия решения послужили выводы управления об отсутствии в закупочных документациях того порядка оценки и сопоставления заявок, который был впоследствии использован администрацией. Не согласившись с ненормативным правовым актом управления, администрация обратилась в арбитражный суд. Исследовав и оценив представленные в материалы дела доказательства, руководствуясь положениями пункта 3 части 1 статьи 17 Закона о защите конкуренции, Типовым порядком организации и проведения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утвержденным приказом Департамента территориальных органов исполнительной власти города Москвы от 29.01.2015 № 6 (далее - Типовой порядок), Порядок организации и проведения конкурса социальных программ (проектов)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безвозмездном пользовании администрации, утвержденным решением Совета депутатов муниципального округа Пресненский от 11.07.2018 № 15/8/231-СД (далее – Решение Совета депутатом), суды пришли к выводу о том, что решение антимонопольного органа соответствует положениям действующего законодательства и не нарушает права и законные интересы заявителя. Судебные инстанции исходили из доказанности наличия в действиях администрации вмененного нарушения Закона о защите конкуренции. При исследовании обстоятельств дела установлено, что конкурсный отбор проходил по критериям и в порядке, не предусмотренным закупочными документами, что в условиях проведения публичных торгов является недопустимым, поскольку не способствует соблюдению принципа информационной открытости, гласности и прозрачности проводимых закупок, представляет собой способ злоупотребления и манипуляций со стороны организатора закупок при выборе их победителей. При этом суды отметили, что отсутствие критериев оценки заявок и порядка присвоения баллов в Типовом порядке и решении Совета депутатов не освобождает организатора конкурса от установления данных критериев и порядка в извещении и конкурсной документации.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округа Пресненский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муниципального округа пресненский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