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21.08.2020, оставленным без изменения постановлением Третьего арбитражного апелляционного суда от 14.12.2020 и постановлением Арбитражного суда Восточно-Сибирского округа от 12.03.2021,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2 акты и направить дела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предпринимателя (исполнитель) мотивированы тем, что общество (заказчик) не исполнило обязательства по оплате работ, выполненных по заданию от 15.09.2015 № 3 в рамках договора от 07.10.2013 на выполнение работ архитектурно-дизайнерского характера.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307, 309, 310, 702, 711, 720, 740, 753, 758, 759, 760, 762 Гражданского кодекса Российской Федерации, разъяснениями, изложенными в пункте 8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суды первой и апелляционной инстанций пришли к выводу об отсутствии оснований для удовлетворения иска. В частности, суды исходили из того, что предприниматель не подтвердил факт передачи результата работ обществу в срок и порядке, согласованные в договоре и задании, не представил доказательств продления срока выполнения работ либо отказа общества от принятия их результата в предусмотренный срок, как и доказательств использования последним результата работ. Суд округа согласился с выводами судов первой и апелляционной инстанций. Доводы кассационной жалобы не опровергают выводы судов, не свидетельствуют о существенном нарушении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Кузнецовой Юлии Александровны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