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14.07.2020, оставленным без изменения постановлениями Четырнадцатого арбитражного апелляционного суда от 29.10.2020 и Арбитражного суда Северо-Западного округа от 25.02.2021, заявленные требования удовлетворены. 2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учреждения (заказчик), выразившиеся в нарушении правил описания объекта закупки при проведении электронного аукциона на право заключения контракта на поставку лекарственных препаратов для медицинского применения, антимонопольным органом принято решение. Решением управления жалоба общества признана обоснованной, в действиях заказчика установлено нарушение части 5 статьи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Предписанием антимонопольного органа на заказчика, уполномоченного органа (агентство) возложена обязанность устранить выявленные нарушения законодательства о контрактной системе. Не согласившись с ненормативными правовыми актами управления, учреждение обратилось в арбитражный суд. Исследовав и оценив представленные в материалы дела доказательства, руководствуясь положениями статей 1, 6, 8, 33, 64 Закона о контрактной системе, Федерального закона от 21.11.2011 № 323-ФЗ «Об основах охраны здоровья граждан в Российской Федерации», Федерального закона от 12.04.2010 № 61-ФЗ «Об обращении лекарственных средств», постановлением Правительства Российской Федерации от 15.11.2017 № 1380 «Об особенностях описания лекарственных препаратов для медицинского применения, являющихся объектом закупки для обеспечения государственных и муниципальных нужд», приказом Министерства здравоохранения и социального развития Российской Федерации от 23.08.2010 № 706н «Об утверждении Правил хранения лекарственных средств», правовой позицией, изложенной в Обзоре судебной практики применения законодательства Российской Федерации о контрактной системе в сфере 3 закупок товаров, работ, услуг для обеспечения государственных и муниципальных нужд, утвержденном Президиумом Верховного Суда Российской Федерации 28.06.2017, суды пришли к выводу о наличии оснований для удовлетворения заявленных требований. Судебные инстанции исходили из того, что учреждение, формируя требования к характеристикам закупаемого товара, определило их с учетом специфики деятельности и имеющейся потребности в закупке именно данного вида упаковки товара с целью качественного оказания медицинской помощи и исключения дополнительных необоснованных расходов, что не может рассматриваться как ограничение количества участников аукциона.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оценку. С учетом изложенного,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«ЭСКОМ-СПб»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