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«Стройтранс» удовлетворить. Срок подачи кассационной жалобы на решение Арбитражного суда Республики Марий Эл от 18.02.2020, постановление Первого арбитражного апелляционного суда от 10.07.2020 и постановление Арбитражного суда Волго-Вятского округа от 06.11.2020 по делу № А38-197/2019 восстановить.Судья Верховного Суда Российской Федерации Н.С. Чучунова Суд: Верховный Суд РФ (подробнее) Истцы: ООО Научно-производственное объединение Нефтехиммонтаж (подробнее) Ответчики: ОАО СТРОЙТРАНС (подробнее) Иные лица: ООО "Стройэксперт " Коваленко М.А.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