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14.08.2020, оставленным без изменения постановлениями Семнадцатого арбитражного апелляционного суда от 23.11.2020 и Арбитражного суда Уральского округа от 12.03.2021, заявленное требование удовлетворено. В кассационной жалобе администрация ставит вопрос об отмене принятых по делу судебных актов, ссылаясь на нарушение норм права, формальный подход судов к рассмотрению фактических обстоятельств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аукционной комиссии при проведении открытого аукциона в электронной форме на право заключения контракта на выполнение работ по обустройству остановок городского общественного транспорта, выразившиеся в признании заявки общества несоответствующей требованиям документации об аукционе, антимонопольным органом принято решение о признании жалобы необоснованной. Не соглашаясь с указанным ненормативным правовым актом управления, общество обратилось в арбитражный суд. Исследовав и оценив представленные в материалы дела доказательства, руководствуясь положениями статей 31, 64,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 к товарам, работам, услугам, которые по причине их технической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требованиям», суды пришли к выводу об отсутствии у антимонопольного органа правовых оснований для признания жалобы общества необоснованной. Судебные инстанции исходили из того, что документы, представленные обществом при проведении спорного аукциона, соответствовали требованиям, предусмотренным аукционной документацией, и дополнительным требованиям, установленным законодательством, в связи с чем указали на отсутствие оснований у аукционной комиссии для признания заявки общества не соответствующей данным требованиям. При этом судами отмечено, что действующее законодательство о контрактной системе в сфере закупок не предусматривает необходимость представления документов, подтверждающих опыт выполнения 3 соответствующих работ исключительно в качестве генерального подрядчика, в связи с чем для определение наличия у участника аукциона опыта по выполнению соответствующих работ не имеет значения - в каком качестве он являлся их исполнителем, в качестве генподрядчика или субподрядчика. Обстоятельства данного спора и представленные доказательства были предметом рассмотрения и оценки судов. Ссылка заявителя на иную судебную практику является несостоятельной, поскольку основана на иных фактических обстоятельствах дела, отличных от настоящего спора. Доводы администрации, изложенные в кассационной жалобе,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Екатеринбурга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