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08.07.2020, оставленным без изменения постановлением Девятого арбитражного апелляционного суда от 13.10.2020 и постановлением Арбитражного суда Московского округа от 25.01.2021,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факт исполнения ответчиком обязательств по сделке, руководствуясь статьями 421, 431, 1102, 1105, 1109 Гражданского кодекса Российской Федерации, суды первой и апелляционной инстанций пришли к выводу о недоказанности возникновения на стороне ответчика неосновательного обогащения за счет истца и отказали в удовлетворении иска, с чем впоследствии согласился суд округа.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«ИМ Технолоджиз»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