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02.07.2020, оставленным без изменения постановлением Семнадцатого арбитражного апелляционного суда от 20.10.2020 и постановлением Арбитражного суда Уральского округа от 25.01.2021, иск удовлетворен.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1102 Гражданского кодекса Российской Федерации, суды первой и апелляционной инстанций, с которыми впоследствии согласился суд округа, пришли к выводу наличии оснований для удовлетворения иска, исходя из отсутствия доказательств обоснованности перечисления истцом спорных денежных средств ответчику.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Ваулина Дениса Андреевича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