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03.08.2020, оставленным без изменения постановлениями Пятого арбитражного апелляционного суда от 19.10.2020 и Арбитражного суда Дальневосточного округа от 15.02.2021, требования ООО «ПромПроектСтройСервис» удовлетворены. В удовлетворении требований ООО «Крымтрасстрой» отказано. В кассационной жалобе администрация ставит вопрос об отмене принятых по делу судебных актов в части удовлетворения требований ООО «ПромПроектСтройСервис»,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(уполномоченный орган) опубликовано извещение № 0161300000119001959 о проведении учреждением электронного аукциона по объекту «Строительство сквера со стелой «Сахалин» в п/р Ново-Александровск». Пунктом 4 извещения, пунктом 13 документации об аукционе установлены требования к участникам закупки в соответствии с частью 2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3 работ, услуг к товарам, работам, услугам, которые по причине их технической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(далее – Постановление № 99). Согласно протоколу подведения итогов электронного аукциона от 03.12.2019 вторые части заявок ООО «ПромПроектСтройСервис» и ООО «Крымтрансстрой» признаны несоответствующими требованиям Закона о контрактной системе и аукционной документации. По результатам рассмотрения жалоб ООО «ПромПроектСтройСервис» и ООО «Крымтрансстрой» на действия комиссии уполномоченного органа антимонопольным органом принято решение от 11.12.2019 № 065/06/106-480/2019 о признании жалоб необоснованными. Не согласившись с результатами торгов и решением управления ООО «Крымтрансстрой» и ООО «ПромПроектСтройСервис» обратились в арбитражный суд. Исследовав и оценив представленные в материалы дела доказательства, руководствуясь положениями статей 31, 64, 66, 69 Закона о контрактной системе, Постановлением № 99, суды пришли к выводу о наличии оснований для удовлетворения требований ООО «ПромПроектСтройСервис» и отсутствию таких оснований для признания обоснованными требований ООО «Крымтрансстрой». Отказывая ООО «Крымтрансстрой» в удовлетворении заявления, суды исходили из того, что ООО «Крымтрансстрой» не подтвердило опыт выполнения работ по объекту капитального строительства, в связи с чем оно не соответствует положениям аукционной документации спорного электронного аукциона. Признавая обоснованным заявление ООО «ПромПроектСтройСервис», судебные инстанции пришли выводу о том, что представленные участником закупки документы подтверждают наличие опыта и квалификацию, которые необходимы для выполнения работ в рамках спорных торгов, в связи с чем указали на отсутствие у аукционной комиссии правовых оснований для признания второй части заявки ООО «ПромПроектСтройСервис» не соответствующей требованиям Закона о контрактной системе и документации электронного аукциона, а у антимонопольного органа для признания его жалобы необоснованной. Обстоятельства данного спора и представленные доказательства были предметом рассмотрения и оценки судов. Вопреки позиции администрации, изложенной в кассационной жалобе, действующее законодательство о контрактной системе в сфере закупок не предусматривает необходимость представления документов, подтверждающих опыт выполнения соответствующих работ исключительно в качестве генерального подрядчика, в связи с чем для определения наличия у участника 4 аукциона опыта по выполнению соответствующих работ не имеет значения - в каком качестве он являлся их исполнителем, в качестве генподрядчика или субподрядчика. Возражения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Ссылка заявителя на иную судебную практику также является несостоятельной, поскольку основана на иных фактических обстоятельствах дела, отличных от настоящего спора. Доводы администрации,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Южно-Сахалинска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