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12.08.2020, оставленным без изменения постановлением Двенадцатого арбитражного апелляционного суда от 07.10.2020, в удовлетворении требований отказано. Постановлением Арбитражного суда Поволжского округа от 26.01.2021 указанные судебные акты оставлены без изменения. 2 Административный орган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недоказанности административным органом факта совершения арбитражным управляющим правонарушения, ответственность за совершение которого предусмотрена частью 4 статьи 14.13 Кодекса Российской Федерации об административных правонарушениях, выражающегося в воспрепятствовании деятельности вновь назначенного арбитражного управляющего в отсутствие доказательств, свидетельствующих о 3 нахождении у прежнего арбитражного управляющего спорных документов и материальных ценностей должника. Указанные выводы судов в жалобе не опровергнуты. Доводы жалобы были предметом рассмотрения судов и получили исчерпывающую правовую оценку применительно к представленным доказательствам, не согласиться с которой оснований не имеется. Оснований для иной квалификации вмененного правонарушения судом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