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27.07.2020, оставленным без изменения постановлением Третьего арбитражного апелляционного суда от 10.09.2020, в удовлетворении заявленного требования отказано. 2 Постановлением Арбитражного суда Восточно-Сибирского округа от 26.01.2021 указанные судебные акты оставлены без изменения. Товарищество обратилось в Верховный Суд Российской Федерации с кассационной жалобой на принятые по делу судебные акты,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товариществом правил содержания и ремонта жилых домов. Статьей 7.22 Кодекса Российской Федерации об административных правонарушениях предусмотрена ответственность за 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Оценив представленные доказательства, руководствуясь положениями статьи 161 Жилищного кодекса Российской Федерации, Правил и норм 3 технической эксплуатации жилищного фонда, утвержденных постановлением Госстроя России от 27.09.2003 № 170, Правил содержания общего имущества в многоквартирном доме, утвержденных постановлением Правительства Российской Федерации от 13.08.2006 № 491, суды пришли к выводу о наличии в действиях (бездействии) товарищества состава правонарушения, ответственность за которое предусмотрена статьей 7.22 Кодекса Российской Федерации об административных правонарушениях. При этом суды исходили из того, что товарищество несет ответственность за содержание имущества многоквартирного дома, а также за соответствие его технического состояния обязательным требованиям и нормам действующего законодательства. Приведенные в жалобе доводы, идентичные изложенным в обоснование позиции товарищества при рассмотрении дела, подробно исследованы судами и им дана исчерпывающая правовая оценка в обжалуемых судебных актах. Доводов о том, что товарищество заблуждалось относительно вмененного правонарушения, а также чем конкретно нарушены права товарищества в связи с отказом в ознакомлении с материалами административного дела, какие доказательства и возражения оно было лишено возможности в связи с этим представить, в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