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06.08.2020, оставленным без изменения постановлением Десятого арбитражного апелляционного суда от 07.10.2020, в удовлетворении требования отказано. 2 Постановлением Арбитражного суда Московского округа от 04.02.2021 указанные судебные акты оставлены без изменения. Общество просит обжалуемые судебные акты отменить,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размещения обществом проектной декларации, содержащей неполную информацию. Частью 2 статьи 14.28 Кодекса Российской Федерации об административных правонарушениях установлена ответственность за опубликование в средствах массовой информации и (или) размещение в информационно-телекоммуникационных сетях общего пользования застройщиком проектной декларации (в том числе вносимых в нее изменений), содержащей неполную и (или) недостоверную информацию, предоставление застройщиком неполной и (или) недостоверной информации, опубликование, размещение или предоставление которой предусмотрено законодательством об участии в долевом строительстве многоквартирных домов и (или) иных 3 объектов недвижимости, а равно нарушение сроков опубликования и (или) размещения проектной декларации либо вносимых в нее изменений. Оценив представленные доказательства, руководствуясь положениями статей 19, 20, 23.3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14.28 Кодекса Российской Федерации об административных правонарушениях. Доказательств, свидетельствующих о том, что общество своевременно приняло все зависящие от него меры по соблюдению требований действующего законодательства, обязывающего общество вносить в проектную декларацию изменения, судам не представлено. Судами проверены процедура и срок давности привлечения к административной ответственности, наказание в виде штрафа назначено в минимальном размере санкции нормы и признано судом соответствующим характеру совершенного административного правонарушения, соразмерным его тяжести, справедливым и отвечающим принципам юридической ответственности.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