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17.01.2020 заявление общества в части оспаривания требования налогового органа оставлено без рассмотрения, в удовлетворении требований в остальной части отказано. Постановлением Одиннадцатого арбитражного апелляционного суда от 31.08.2020 решение суда первой инстанции в части рассмотренных требований оставлено без изменения. Одиннадцатый арбитражный апелляционный суд перешел к рассмотрению дела в части заявления об оспаривании требования налогового органа по правилам, установленным Арбитражным процессуальным кодексом Российской Федерации для рассмотрения дела в суде первой инстанции, дополнительным постановлением Одиннадцатого арбитражного апелляционного суда от 03.09.2020 решение суда первой инстанции в части оставления без рассмотрения заявления общества в указанной части отменено, в данной части принят новый судебный акт, в удовлетворении требования отказано. Постановлением Арбитражного суда Поволжского округа от 21.01.2021 постановление апелляционной инстанции и дополнительное постановление оставлены без изменения. Общество просит обжалуемые судебные акты отменить, считая их незаконными и необоснованными.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Федерального закона от 24.07.2009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3 страхования», Налогового кодекса Российской Федерации, суды апелляционной и кассационной инстанций признали оспариваемые решение и требование в обжалуемой части законными и обоснованными. Обстоятельств, свидетельствующих о том, что страховые взносы на спорные выплаты заявителем не начислялись в связи с наличием соответствующих письменных разъяснений уполномоченных государственных органов, позволяющих применить положения о неначислении пени и штрафа за неуплату страховых взносов, применительно к рассматриваемому периоду, судами не установлено. При этом в пункте 2 Информационного письма Президиума Высшего Арбитражного Суда Российской Федерации от 14.03.2006 № 106 «Обзор практики рассмотрения арбитражными судами дел, связанных с взысканием единого социального налога» было разъяснено, что выплаты, осуществляемые на основании пункта 2 статьи 64 Федерального закона «Об акционерных обществах» в пользу членов совета директоров акционерного общества, являются объектом обложения единым социальным налогом. Поэтому разъяснения уполномоченных государственных органов, данные без учета указанной правовой позиции высшей судебной инстанции, не могли приниматься во внимание как страхователями, так и органами Пенсионного фонда и налоговыми органами. На уровне Конституционного Суда Российской Федерации практика применения законодательства, регулирующего спорные правоотношения, в соответствии с которой выплата вознаграждения членам совета директоров общества подлежит обложению страховыми взносами, была определена в определениях от 06.06.2016 № 1169-О, № 1170-О.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4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