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«Частная охранная организация «Рэндл» обратилось в суд с заявлением о разрешении разногласий в отношении начальной цены, условий и порядка продажи имущества должника. Определением Арбитражного суда города Санкт-Петербурга и Ленинградской области от 15.06.2020, оставленным без изменения постановлениями Тринадцатого арбитражного апелляционного суда от 15.09.2020 и Арбитражного суда Северо-Западного округа от 26.01.2021, начальная продажная цена недвижимого имущества установлена в размере 198 384 550 рублей, движимого имущества – 3 973 676 рублей, в остальной части заявление оставлено без удовлетворения. В кассационной жалобе, поданной в Верховный Суд Российской Федерации, заявитель просит отменить указанные судебные акты, разрешить разногласия.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110, 111 и 138 Федерального закона от 26.10.2002 № 127-ФЗ «О несостоятельности (банкротстве)», а также выводами, содержащимися в экспертном заключении, определили начальную цену продажи, указав на непредоставление надлежащих доказательств занижения стоимости или несоответствия экспертного заключения требованиям законодательства.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Артамонову Вадиму Васильевичу в передаче его кассационной жалобе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