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«УЗМК» и общество с ограниченной ответственностью «Школьное питание» обратились в суд с исковыми заявлениями, впоследствии объединёнными в одно производство для совместного рассмотрения, о привлечении к субсидиарной ответственности по обязательствам общества с ограниченной ответственностью «Кумир-Автолайн 3» Ройзмана Григория Борисовича, Косикова Евгения Александровича и Кушнерука Ильи Александровича. Решением Арбитражного суда Челябинской области от 04.06.2020, оставленным без изменения постановлениями Восемнадцатого арбитражного апелляционного суда от 28.09.2020 и Арбитражного суда Уральского округа от 28.01.2021, отказано в удовлетворении требований. В кассационной жалобе, поданной в Верховный Суд Российской Федерации, заявитель просит отменить названные судебные акты, принять новый судебный акт об удовлетворении требований к Ройзману Г.Б.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статей 9, 10, 61.11 и 61.19 Федерального закона от 26.10.2002 № 127-ФЗ «О несостоятельности (банкротстве)» (в актуальных редакциях), исходили из недоказанности причин для удовлетворения требований по заявленным обществом «УЗМК» основаниям.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«Уральский завод медного кабеля»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