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обратилась в суд с жалобой на действия (бездействия) конкурсного управляющего должником Гулакова И.А. Определением Арбитражного суда города Москвы от 03.08.2020, оставленным без изменения постановлением Девятого арбитражного апелляционного суда от 04.12.2020, жалоба удовлетворена частично. Впоследствии Гулаков И.А. обратился в Арбитражный суд Московского округа с кассационной жалобой на вышеуказанные судебные акты, заявив ходатайство о восстановлении пропущенного процессуального срока. Определением Арбитражный суд Московского округа от 25.01.2021, оставленным без изменения определением Арбитражный суд Московского округа от 11.03.2021, отказано в удовлетворении ходатайства о восстановлении пропущенного срока, жалоба возвращена. В кассационной жалобе, поданной в Верховный Суд Российской Федерации, заявитель просит отменить указанные определения суда округа от 25.01.2021 и от 11.03.2021.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руководствуясь положениями статей 117 и 276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кассационной жалобы.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Гулакову Игорю Альбертовичу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