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с заявлением о включении в реестр требований кредиторов должника задолженности в сумме 4 818 313 рублей 58 копеек. Определением Арбитражного суда Ростовской области от 03.09.2020, оставленным без изменения постановлением Пятнадцатого арбитражного апелляционного суда от 22.10.2020, восстановлен срок на подачу заявления о включении в реестр требований кредиторов, вышеуказанные требования общества включены в третью очередь реестра как обеспеченные залогом имущества должника. Постановлением Арбитражного суда Северо-Кавказского округа от 22.01.2021, отменены определение суда первой инстанции от 03.09.2020 и постановление апелляционного суда от 22.10.2020, дело в части направлено на новое рассмотрение.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спор на новое рассмотрение, суд округа, руководствуясь позицией, изложенной в пункте 14 постановления Пленума Высшего Арбитражного суда Российской Федерации от 17.02.2011 № 10 «О некоторых вопросах применения законодательства о залоге»,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«СИК Менеджмент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