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пенсионных средств, поступивших на пенсионный счёт в период реструктуризации с апреля по июль 2018 года в общей сумме 49 239 рублей и обязании финансового управляющего выплатить указанную сумму, возместить моральные и физические убытки в размере 50 % от указанной суммы в размере 24 619 рублей 50 копеек. Определением Арбитражного суда Рязанской области от 14.07.2020, оставленным без изменения постановлениями Двадцатого арбитражного апелляционного суда от 06.10.2020 и Арбитражного суда Центрального округа от 09.02.2021,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213.11 и 213.25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должником основаниям.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Пономареву Юрию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