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Азарнина Олеся Анатольевна обратилась в суд с заявлением о включении требований в размере 40 000 000 рублей основного долга и 9 907 773 рублей 45 копеек неустойки в реестр требований кредиторов должника. Определением Арбитражного суда города Москвы от 16.07.2020, оставленным без изменения постановлениями Девятого арбитражного апелляционного суда от 03.12.2020 и Арбитражного суда Московского округа от 12.02.2021, вышеуказанные требования включены в состав третьей очереди реестра требования кредиторов.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 наличии оснований для включения требований в реестр.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Заявитель не лишён права изложить свои доводы относительно договоров от 01.07.2016 № ТС-1/1-2016, от 02.08.2016 № ТС-1-2016, положенных в основу требований Азариной О.А., в рамках отдельного спора о признании недействительными данных сделок. Постановлением Арбитражного суда Московского округа от 14.04.2021 по настоящему делу указанный обособленный спор направлен на новое рассмотрение в Арбитражный суд города Москвы.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«ТеплицСтройУниверсал» Штин Юлии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