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разрешении разногласий по вопросу включения в реестр требований участников строительства должника убытков в виде реального ущерба по требованиям, установленным определением Арбитражного суда Нижегородской области от 30.11.2018 по настоящему делу, а также включении названных убытков в реестр требований участников строительства должника. Определением Арбитражного суда Нижегородской области от 14.09.2020, оставленным без изменения постановлениями Первого арбитражного апелляционного суда от 15.12.2020 и Арбитражного суда Волго-Вятского округа от 16.02.2021,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заявление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201.4 и 201.5 Федерального закона № 127-ФЗ от 26.10.2002 «О несостоятельности (банкротстве)», исходили из отсутствия оснований для удовлетворения требований банка.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«Московский индустриальный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