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17.07.2020, оставленным без изменения постановлением Девятнадцатого арбитражного апелляционного суда от 24.09.2020, в иске отказано. Постановлением Арбитражного суда Центрального округа от 28.01.2021 указанные судебные акты оставлены без изменения. Предприниматель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с учетом установленных по делу обстоятельств, что предпринимателем пропущен трехлетний срок для обращения в суд. При этом вне зависимости от принятого Конституционным Судом Российской Федерации Постановления от 30.11.2016 № 27-П, определения Верховного Суда Российской Федерации от 18.04.2017 № 304-КГ16-16937, переплата по страховым взносам у предпринимателя возникла в момент перечисления предпринимателем в бюджет пенсионного фонда страховых взносов за спорный расчетный период, о наличии которой предприниматель должен был знать с момента ее образования. Выводы судов соответствуют правовой позиции, изложенной в определении Судебной коллегии по экономическим спорам Верховного Суда Российской Федерации от 21.05.2021 № 309-ЭС20-22962.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ГУ Управление Пенсионного фонда Российской Федерации в г. Белгороде Белгородской области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