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25.06.2020 в удовлетворении иска отказано. Постановлением Девятого арбитражного апелляционного суда от 21.10.2020 решение суда первой инстанции отменено в части отказа во взыскании неустойки, с общества в пользу управления взыскана неустойка в размере 2 594 098 рублей 28 копеек, в остальной части в удовлетворении требования о взыскании неустойки отказано. Решение суда первой инстанции в остальной части оставлено без изменения. Арбитражный суд Московского округа постановлением от 11.02.2021 постановление суда апелляционной инстанции оставил без изменения. 2 В кассационных жалобах, поданных в Верховный Суд Российской Федерации, управление и общество ставят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(заказчик) и обществом (подрядчик) заключен государственный контракт от 11.09.2013 на выполнение подрядных работ по реконструкции спальных корпусов. В обоснование иска управление ссылается на выявление в 2018 году фактов завышения подрядчиком объема оплаченных работ и примененных расценок, что привело к неосновательному обогащению общества на сумму 14 110 756 рублей 01 копейку, а также на нарушение сроков выполнения работ. Исследовав и оценив представленные в дело доказательства, суд первой инстанции, руководствуясь положениями статей 309, 310, 328, 330, 401, 405, 406, 421, 710, 711, 719, 720, 748, 1102 Гражданского кодекса Российской Федерации, пришел к выводу об отсутствии оснований для удовлетворения иска. Суд первой инстанции исходил из того, что спорный объект введен в эксплуатацию в установленные сроки, исполнительная документация передана в эксплуатирующую организацию, гарантийное обслуживание объекта ведется в установленном порядке; стоимость принятых истцом работ с учетом корректировочных актов соответствует цене контракта; работы по контракту выполнены ответчиком в полном объеме и оплачены заказчиком; общество в случае применения ненадлежащих расценок управлением не должно нести неблагоприятные для себя последствия; спорные работы и затраты не являются скрытыми; отсутствуют доказательства неосновательного обогащения ответчика. Отказывая в удовлетворении требования о взыскании неустойки за просрочку выполнения работ, суд первой инстанции указал на то, что работы выполнены подрядчиком в установленный контрактом срок. Отменяя решение суда первой инстанции в части взыскания неустойки, суд апелляционной инстанции пришел к выводу о наличии оснований для 3 возложения на ответчика гражданско-правовой ответственности в виде выплаты неустойки, при этом произвел ее перерасчет исходя из стоимости фактически невыполненных в срок работ. Суд округа поддержал выводы суда апелляционной инстанции. Обстоятельства данного спора и представленные доказательства были предметом рассмотрения и оценки судов. Доводы управления и общества относительно выводов судов не свидетельствуют о неправильном применении норм материального и процессуального права, повлиявшем на исход дела,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Несогласие заявителей с выводами судов, иная оценка ими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кассационных жалоб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делами Президента Российской Федерации и акционерному обществу «Стройспецкомплектресурс»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