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25.06.2020 в удовлетворении иска отказано. Постановлением Девятого арбитражного апелляционного суда от 21.10.2020 решение суда первой инстанции отменено в части отказа во взыскании неустойки, с общества в пользу управления взыскана неустойка в размере 2 594 098 рублей 28 копеек, в остальной части в удовлетворении требования о взыскании неустойки отказано. Решение суда первой инстанции в остальной части оставлено без изменения. Арбитражный суд Московского округа постановлением от 11.02.2021 постановление суда апелляционной инстанции оставил без изменения. В кассационных жалобах, поданных в Верховный Суд Российской Федерации, управление и общество ставят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(заказчик) и обществом (подрядчик) заключен государственный контракт от 11.09.2013 на выполнение подрядных работ по реконструкции спальных корпусов. В обоснование иска управление ссылается на выявление в 2018 году фактов завышения подрядчиком объема оплаченных работ и примененных расценок, что привело к неосновательному обогащению общества на сумму 14 110 756 рублей 01 копейку, а также на нарушение сроков выполнения работ. Исследовав и оценив представленные в дело доказательства, суд первой инстанции, руководствуясь положениями статей 309 , 310 , 328 , 330 , 401 , 405 , 406 , 421 , 710 , 711 , 719 , 720 , 748 , 1102 Гражданского кодекса Российской Федерации, пришел к выводу об отсутствии оснований для удовлетворения иска. Суд первой инстанции исходил из того, что спорный объект введен в эксплуатацию в установленные сроки, исполнительная документация передана в эксплуатирующую организацию, гарантийное обслуживание объекта ведется в установленном порядке; стоимость принятых истцом работ с учетом корректировочных актов соответствует цене контракта; работы по контракту выполнены ответчиком в полном объеме и оплачены заказчиком; общество в случае применения ненадлежащих расценок управлением не должно нести неблагоприятные для себя последствия; спорные работы и затраты не являются скрытыми; отсутствуют доказательства неосновательного обогащения ответчика. Отказывая в удовлетворении требования о взыскании неустойки за просрочку выполнения работ, суд первой инстанции указал на то, что работы выполнены подрядчиком в установленный контрактом срок. Отменяя решение суда первой инстанции в части взыскания неустойки, суд апелляционной инстанции пришел к выводу о наличии оснований для возложения на ответчика гражданско-правовой ответственности в виде выплаты неустойки, при этом произвел ее перерасчет исходя из стоимости фактически невыполненных в срок работ. Суд округа поддержал выводы суда апелляционной инстанции. Обстоятельства данного спора и представленные доказательства были предметом рассмотрения и оценки судов. Доводы управления и общества относительно выводов судов не свидетельствуют о неправильном применении норм материального и процессуального права, повлиявшем на исход дела,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Несогласие заявителей с выводами судов, иная оценка ими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кассационных жалоб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делами Президента Российской Федерации и акционерному обществу «Стройспецкомплектресурс»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делами президента Российской Федерации (подробнее) Ответчики: АО "СТРОЙСПЕЦКОМПЛЕКТРЕСУРС" (подробнее) Судьи дела: Антонова М.К.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