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15.09.2020, оставленным без изменения постановлением Девятого арбитражного апелляционного суда от 26.11.2020 и постановлением Арбитражного суда Московского округа от 10.03.2021,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соответствии с протоколом от 13.11.2019 общество признано победителем открытого конкурса в электронной форме на выполнение работ по разработке проектно-сметной документации на капитальный ремонт по двум объектам трамвайных путей общей протяженностью 6,75 км одиночного пути и по трем объектам контактной сети. В связи с не подписанием контракта 26.11.2019 заказчиком составлен протокол о признании общества уклонившимся от заключения контракта и направлено в антимонопольный орган заявление о включении общества в реестр недобросовестных поставщиков. Решением управления от 21.01.2020 сведения, представленные в отношении общества, включены в реестр недобросовестных поставщиков. Не согласившись с решением управления, заявитель обратился в арбитражный суд. Исследовав и оценив представленные в материалы дела доказательства, суд первой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пришел к выводу о том, что решение управления соответствует положениям действующего законодательства и не нарушает права и законные интересы заявителя, с чем согласились суды апелляционной инстанции и округа. Судебные инстанции исходили из доказанности уклонения общества от подписания контракта, отметив, что в указанный законом срок обществом в единой информационной системе не размещены файл гарантийного обеспечения и проект контракта, подписанный усиленной электронной подписью. Доказательств обратного в материалы дела не представлено. Довод жалобы о несоответствии заявки общества требованиям конкурсной документации и отсутствии оснований для признания его победителем конкурса, был предметом рассмотрения судов и получил соответствующую правовую оценку.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кассационной жалобы не могут быть признаны основанием для отмены обжалуемых судебных актов в кассационном порядке, поскольку не свидетельствуют о нарушении судами норм материального и (или) процессуального права, связаны с оценкой фактических обстоятельств дела и представленных сторонами доказательств, что не отнесено к полномочиям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«МЭЗ Спецавтоматика»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"МЭЗ СПЕЦАВТОМАТИКА"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