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28.09.2020, оставленным без изменения постановлением Девятого арбитражного апелляционного суда от 21.12.2020 и постановлением Арбитражного суда Московского округа от 22.02.2021, в удовлетворении заявления отказано. В кассационной жалобе банк просит об отмене судебных актов, ссылаясь на ненадлежащую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Признание в деле № А41-27195/2019 выполнения работ на часть предъявленной к выплате по гарантии суммы не означает отсутствия у истца права на предъявление требования о платеже по гарантии при ненадлежащем исполнением подрядчиком (принципалом) обязательства и не создает необходимого в силу пункта 1 части 2 статьи 311 Арбитражного процессуального кодекса Российской Федерации условия для пересмотра судебного акта. Руководствуясь статьями 291.6 , 291.8 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«Восточный экспресс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СТРОИТЕЛЬНОГО КОМПЛЕКСА МО (подробнее) Министерство строительного комплекса Московской области (подробнее) Ответчики: ПАО "Восточный экспресс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