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01.07.2020, оставленным без изменения постановлением Шестнадцатого арбитражного апелляционного суда от 12.11.2020, в удовлетворении иска отказано. Арбитражный суд Северо-Кавказского округа постановлением от 11.02.2021 решение от 01.07.2020 и постановление Шестнадцатого арбитражного апелляционного суда от 12.11.2020 оставил без изменения. В кассационной жалобе банк просит о пересмотре судебных актов вследствие неосновательного неприменения при рассмотрении спора статьи 375.1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реализацию банком права на регрессное требование к принципалу (заводу) подачей в дело о его банкротстве заявления о включении выплаченных по гарантии сумм в реестр требований кредиторов. Удовлетворение судом названного заявления указывает на правомерность выплаты по гарантии и отсутствии условий для взыскания уплаченных сумм в качестве убытков с бенефициара.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«Восточный экспресс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"Восточный экспресс банк" (подробнее) ПАО КБ "Восточный" (подробнее) Ответчики: Федеральная налоговая служба (подробнее) Иные лица: Межрайонная инспекция Федеральной налоговой службы №10 по Ставропольскому Краю (подробнее) МИФНС №10 по СК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