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Кемеровской области от 18.06.2020, оставленным без изменения постановлением Седьмого арбитражного апелляционного суда от 24.09.2020, взыскано 18 409 237 рублей 38 копеек задолженности, 9 650 558 рублей 40 копеек процентов и 13 740 566 рублей 81 копейка неустойки. Арбитражный суд Западно-Сибирского округа постановлением от 21.01.2021 решение от 18.06.2020 и постановление Седьмого арбитражного апелляционного суда от 24.09.2020 оставил без изменения. В кассационной жалобе компания просит об отмене судебных актов, ссылаясь на неправомерное отклонение довода о пропуске срока исковой давности в отношении требований по договору от 23.06.2016 № 142/2016, неисследование вопроса о мнимости договора. 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исполнения договора займа от 23.06.2016 № 142/2016, установили перерыв в силу статьи 203 Гражданского кодекса Российской Федерации в течении срока исковой давности по возникающим из него требованиям. Довод о недействительности спорных договоров займа были рассмотрены судом округа и мотивированно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«Угольная компания «Инская»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"УглеТранс" (подробнее) Ответчики: ООО "УГОЛЬНАЯ КОМПАНИЯ "ИНСКАЯ"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