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14.09.2020, оставленным без изменения постановлением Тринадцатого арбитражного апелляционного суда от 24.12.2020, в удовлетворении иска отказано. Арбитражный суд Северо-Западного округа постановлением от 04.03.2021 решение от 14.09.2020 и постановление Тринадцатого арбитражного апелляционного суда от 24.12.2020 оставил без изменения. В кассационной жалобе общество просит об отмене судебных актов, ссылаясь на неисполнение банком обязательства по расторжению поручительства.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качестве основания для возникновения обязанности банка по расторжению поручительства истец называет заключенное между третьим лицом и банком соглашение. Суды признали, что указанное соглашение не порождает обязанности банка перед истцом и право последнего требовать принудительного исполнения, поскольку не является требуемым в силу закона основанием для расторжения договора.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«Лаборатория водных технологий»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"ЛАБОРАТОРИЯ ВОДНЫХ ТЕХНОЛОГИЙ" (подробнее) Ответчики: ОАО Банк ВТБ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