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25.05.2020, оставленным без изменения постановлением Девятого арбитражного апелляционного суда от 06.10.2020, взыскано 4 170 000 рублей по банковской гарантии и 462 870 рублей неустойки. Арбитражный суд Московского округа постановлением от 25.01.2021 решение от 25.05.2020 и постановление Девятого арбитражного апелляционного суда от 06.10.2020 оставил без изменения. В кассационной жалобе банк просит о отмене судебных актов, ссылаясь на правомерный отказ в платеже.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установили, что требование о платеже по банковской гарантии и приложенные к нему документы соответствовали условиям гарантии, что в силу статей 374 и 376 Гражданского кодекса Российской Федерации не позволяло банку отказать в платеже. Возражения банка о немотивированности расчета представленного требования и недобросовестности бенефициара основаны на обстоятельствах исполнения основного обязательства и в силу независимости от него обязательства по гарантии не влекут отказа в ее реализации.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Судья Верховного Суда Российской Федерации Н.А. Ксенофонтова Суд: Верховный Суд РФ (подробнее) Истцы: управление здравоохранения липецкой области (подробнее) Ответчики: ПАО Банк "Финансовая Корпорация Открытие"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